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A8B8A6" w14:textId="77777777" w:rsidR="00B90B73" w:rsidRPr="00B90B73" w:rsidRDefault="00B90B73" w:rsidP="00B90B73">
      <w:pPr>
        <w:spacing w:before="100" w:beforeAutospacing="1" w:after="100" w:afterAutospacing="1" w:line="240" w:lineRule="auto"/>
        <w:rPr>
          <w:rFonts w:eastAsia="Times New Roman" w:cstheme="minorHAnsi"/>
          <w:lang w:eastAsia="en-150"/>
        </w:rPr>
      </w:pPr>
      <w:r w:rsidRPr="00B90B73">
        <w:rPr>
          <w:rFonts w:eastAsia="Times New Roman" w:cstheme="minorHAnsi"/>
          <w:b/>
          <w:bCs/>
          <w:lang w:eastAsia="en-150"/>
        </w:rPr>
        <w:t>1. Company Overview</w:t>
      </w:r>
    </w:p>
    <w:p w14:paraId="11F6FA8B" w14:textId="04254D0F" w:rsidR="00E06BFE" w:rsidRDefault="00B90B73" w:rsidP="00E06BFE">
      <w:pPr>
        <w:spacing w:before="100" w:beforeAutospacing="1" w:after="100" w:afterAutospacing="1" w:line="240" w:lineRule="auto"/>
        <w:rPr>
          <w:rFonts w:eastAsia="Times New Roman" w:cstheme="minorHAnsi"/>
          <w:lang w:eastAsia="en-150"/>
        </w:rPr>
      </w:pPr>
      <w:r w:rsidRPr="00B90B73">
        <w:rPr>
          <w:rFonts w:eastAsia="Times New Roman" w:cstheme="minorHAnsi"/>
          <w:lang w:eastAsia="en-150"/>
        </w:rPr>
        <w:t xml:space="preserve">1.1. </w:t>
      </w:r>
      <w:r w:rsidR="00824C56" w:rsidRPr="00C92A79">
        <w:rPr>
          <w:b/>
          <w:bCs/>
          <w:lang w:val="en-US"/>
        </w:rPr>
        <w:t>T</w:t>
      </w:r>
      <w:proofErr w:type="spellStart"/>
      <w:r w:rsidR="00824C56" w:rsidRPr="00C92A79">
        <w:rPr>
          <w:b/>
          <w:bCs/>
        </w:rPr>
        <w:t>ruvasta</w:t>
      </w:r>
      <w:proofErr w:type="spellEnd"/>
      <w:r w:rsidR="00824C56">
        <w:rPr>
          <w:b/>
          <w:bCs/>
          <w:lang w:val="en-US"/>
        </w:rPr>
        <w:t>capital</w:t>
      </w:r>
      <w:r w:rsidR="00824C56" w:rsidRPr="00B90B73">
        <w:rPr>
          <w:rFonts w:eastAsia="Times New Roman" w:cstheme="minorHAnsi"/>
          <w:lang w:eastAsia="en-150"/>
        </w:rPr>
        <w:t xml:space="preserve"> </w:t>
      </w:r>
      <w:r w:rsidRPr="00B90B73">
        <w:rPr>
          <w:rFonts w:eastAsia="Times New Roman" w:cstheme="minorHAnsi"/>
          <w:lang w:eastAsia="en-150"/>
        </w:rPr>
        <w:t xml:space="preserve">("the Company") is a globally recognized trading and investment firm, regulated and authorized in multiple jurisdictions, including, </w:t>
      </w:r>
      <w:r w:rsidR="00E06BFE">
        <w:rPr>
          <w:rFonts w:eastAsia="Times New Roman" w:cstheme="minorHAnsi"/>
          <w:lang w:val="en-US" w:eastAsia="en-150"/>
        </w:rPr>
        <w:t>Europe</w:t>
      </w:r>
      <w:r w:rsidRPr="00B90B73">
        <w:rPr>
          <w:rFonts w:eastAsia="Times New Roman" w:cstheme="minorHAnsi"/>
          <w:lang w:eastAsia="en-150"/>
        </w:rPr>
        <w:t xml:space="preserve">, Singapore, and </w:t>
      </w:r>
      <w:r w:rsidR="00E06BFE">
        <w:rPr>
          <w:rFonts w:eastAsia="Times New Roman" w:cstheme="minorHAnsi"/>
          <w:lang w:val="en-US" w:eastAsia="en-150"/>
        </w:rPr>
        <w:t>Canada</w:t>
      </w:r>
      <w:r w:rsidRPr="00B90B73">
        <w:rPr>
          <w:rFonts w:eastAsia="Times New Roman" w:cstheme="minorHAnsi"/>
          <w:lang w:eastAsia="en-150"/>
        </w:rPr>
        <w:t>. The Company offers a wide range of financial services across various asset classes, including Contracts for Difference (</w:t>
      </w:r>
      <w:proofErr w:type="spellStart"/>
      <w:r w:rsidRPr="00B90B73">
        <w:rPr>
          <w:rFonts w:eastAsia="Times New Roman" w:cstheme="minorHAnsi"/>
          <w:lang w:eastAsia="en-150"/>
        </w:rPr>
        <w:t>CFDs</w:t>
      </w:r>
      <w:proofErr w:type="spellEnd"/>
      <w:r w:rsidRPr="00B90B73">
        <w:rPr>
          <w:rFonts w:eastAsia="Times New Roman" w:cstheme="minorHAnsi"/>
          <w:lang w:eastAsia="en-150"/>
        </w:rPr>
        <w:t>), equities, commodities, and more.</w:t>
      </w:r>
    </w:p>
    <w:p w14:paraId="2CC09FC8" w14:textId="4A1BEB8E" w:rsidR="00B90B73" w:rsidRPr="00B90B73" w:rsidRDefault="00B90B73" w:rsidP="00B90B73">
      <w:pPr>
        <w:spacing w:before="100" w:beforeAutospacing="1" w:after="100" w:afterAutospacing="1" w:line="240" w:lineRule="auto"/>
        <w:rPr>
          <w:rFonts w:eastAsia="Times New Roman" w:cstheme="minorHAnsi"/>
          <w:lang w:eastAsia="en-150"/>
        </w:rPr>
      </w:pPr>
      <w:r w:rsidRPr="00B90B73">
        <w:rPr>
          <w:rFonts w:eastAsia="Times New Roman" w:cstheme="minorHAnsi"/>
          <w:lang w:eastAsia="en-150"/>
        </w:rPr>
        <w:br/>
      </w:r>
      <w:r w:rsidR="00E06BFE">
        <w:rPr>
          <w:rFonts w:eastAsia="Times New Roman" w:cstheme="minorHAnsi"/>
          <w:lang w:val="en-US" w:eastAsia="en-150"/>
        </w:rPr>
        <w:t>1.2.</w:t>
      </w:r>
      <w:r w:rsidR="00824C56" w:rsidRPr="00824C56">
        <w:rPr>
          <w:rFonts w:cstheme="minorHAnsi"/>
          <w:b/>
          <w:bCs/>
          <w:color w:val="000000" w:themeColor="text1"/>
          <w:lang w:val="en-US"/>
        </w:rPr>
        <w:t xml:space="preserve"> </w:t>
      </w:r>
      <w:r w:rsidR="00824C56" w:rsidRPr="00C92A79">
        <w:rPr>
          <w:b/>
          <w:bCs/>
          <w:lang w:val="en-US"/>
        </w:rPr>
        <w:t>T</w:t>
      </w:r>
      <w:proofErr w:type="spellStart"/>
      <w:r w:rsidR="00824C56" w:rsidRPr="00C92A79">
        <w:rPr>
          <w:b/>
          <w:bCs/>
        </w:rPr>
        <w:t>ruvasta</w:t>
      </w:r>
      <w:r w:rsidR="00824C56">
        <w:rPr>
          <w:b/>
          <w:bCs/>
          <w:lang w:val="en-US"/>
        </w:rPr>
        <w:t>capita</w:t>
      </w:r>
      <w:r w:rsidR="00824C56">
        <w:rPr>
          <w:b/>
          <w:bCs/>
          <w:lang w:val="en-US"/>
        </w:rPr>
        <w:t>t</w:t>
      </w:r>
      <w:proofErr w:type="spellEnd"/>
      <w:r w:rsidR="00824C56">
        <w:rPr>
          <w:rFonts w:cstheme="minorHAnsi"/>
          <w:b/>
          <w:bCs/>
          <w:color w:val="000000" w:themeColor="text1"/>
          <w:lang w:val="en-US"/>
        </w:rPr>
        <w:t>.</w:t>
      </w:r>
      <w:r w:rsidR="00E06BFE" w:rsidRPr="00E06BFE">
        <w:rPr>
          <w:rFonts w:eastAsia="Times New Roman" w:cstheme="minorHAnsi"/>
          <w:lang w:eastAsia="en-150"/>
        </w:rPr>
        <w:t xml:space="preserve">is authorised and regulated by the Canadian Financial Industry Regulatory Authority, registration number BRL </w:t>
      </w:r>
      <w:r w:rsidR="00824C56">
        <w:rPr>
          <w:rFonts w:cstheme="minorHAnsi"/>
          <w:b/>
          <w:bCs/>
          <w:color w:val="000000" w:themeColor="text1"/>
          <w:lang w:val="en-US"/>
        </w:rPr>
        <w:t xml:space="preserve">53854 </w:t>
      </w:r>
      <w:r w:rsidR="00824C56" w:rsidRPr="00A00857">
        <w:rPr>
          <w:rFonts w:cstheme="minorHAnsi"/>
          <w:b/>
          <w:bCs/>
          <w:color w:val="000000" w:themeColor="text1"/>
          <w:lang w:val="en-US"/>
        </w:rPr>
        <w:t xml:space="preserve"> </w:t>
      </w:r>
      <w:r w:rsidR="00824C56">
        <w:rPr>
          <w:rFonts w:cstheme="minorHAnsi"/>
          <w:b/>
          <w:bCs/>
          <w:color w:val="000000" w:themeColor="text1"/>
          <w:lang w:val="en-US"/>
        </w:rPr>
        <w:t>.</w:t>
      </w:r>
    </w:p>
    <w:p w14:paraId="74BE8F93" w14:textId="28EA6B9E" w:rsidR="00B90B73" w:rsidRPr="00B90B73" w:rsidRDefault="00B90B73" w:rsidP="00B90B73">
      <w:pPr>
        <w:spacing w:after="0" w:line="240" w:lineRule="auto"/>
        <w:rPr>
          <w:rFonts w:eastAsia="Times New Roman" w:cstheme="minorHAnsi"/>
          <w:lang w:eastAsia="en-150"/>
        </w:rPr>
      </w:pPr>
    </w:p>
    <w:p w14:paraId="4D96E506" w14:textId="77777777" w:rsidR="00B90B73" w:rsidRPr="00B90B73" w:rsidRDefault="00B90B73" w:rsidP="00B90B73">
      <w:pPr>
        <w:spacing w:before="100" w:beforeAutospacing="1" w:after="100" w:afterAutospacing="1" w:line="240" w:lineRule="auto"/>
        <w:rPr>
          <w:rFonts w:eastAsia="Times New Roman" w:cstheme="minorHAnsi"/>
          <w:lang w:eastAsia="en-150"/>
        </w:rPr>
      </w:pPr>
      <w:r w:rsidRPr="00B90B73">
        <w:rPr>
          <w:rFonts w:eastAsia="Times New Roman" w:cstheme="minorHAnsi"/>
          <w:b/>
          <w:bCs/>
          <w:lang w:eastAsia="en-150"/>
        </w:rPr>
        <w:t>2. Investment Services</w:t>
      </w:r>
    </w:p>
    <w:p w14:paraId="30DD034D" w14:textId="77777777" w:rsidR="00B90B73" w:rsidRPr="00B90B73" w:rsidRDefault="00B90B73" w:rsidP="00B90B73">
      <w:pPr>
        <w:spacing w:before="100" w:beforeAutospacing="1" w:after="100" w:afterAutospacing="1" w:line="240" w:lineRule="auto"/>
        <w:rPr>
          <w:rFonts w:eastAsia="Times New Roman" w:cstheme="minorHAnsi"/>
          <w:lang w:eastAsia="en-150"/>
        </w:rPr>
      </w:pPr>
      <w:r w:rsidRPr="00B90B73">
        <w:rPr>
          <w:rFonts w:eastAsia="Times New Roman" w:cstheme="minorHAnsi"/>
          <w:lang w:eastAsia="en-150"/>
        </w:rPr>
        <w:t>2.1. Under its license, the Company may offer the following Investment Services:</w:t>
      </w:r>
      <w:r w:rsidRPr="00B90B73">
        <w:rPr>
          <w:rFonts w:eastAsia="Times New Roman" w:cstheme="minorHAnsi"/>
          <w:lang w:eastAsia="en-150"/>
        </w:rPr>
        <w:br/>
        <w:t>(a) Reception and transmission of orders in relation to one or more of the Financial Instruments.</w:t>
      </w:r>
      <w:r w:rsidRPr="00B90B73">
        <w:rPr>
          <w:rFonts w:eastAsia="Times New Roman" w:cstheme="minorHAnsi"/>
          <w:lang w:eastAsia="en-150"/>
        </w:rPr>
        <w:br/>
        <w:t>(b) Execution of orders on behalf of Clients.</w:t>
      </w:r>
      <w:r w:rsidRPr="00B90B73">
        <w:rPr>
          <w:rFonts w:eastAsia="Times New Roman" w:cstheme="minorHAnsi"/>
          <w:lang w:eastAsia="en-150"/>
        </w:rPr>
        <w:br/>
        <w:t>(c) Dealing on own account.</w:t>
      </w:r>
    </w:p>
    <w:p w14:paraId="29D47EEF" w14:textId="77777777" w:rsidR="00B90B73" w:rsidRPr="00B90B73" w:rsidRDefault="00824C56" w:rsidP="00B90B73">
      <w:pPr>
        <w:spacing w:after="0" w:line="240" w:lineRule="auto"/>
        <w:rPr>
          <w:rFonts w:eastAsia="Times New Roman" w:cstheme="minorHAnsi"/>
          <w:lang w:eastAsia="en-150"/>
        </w:rPr>
      </w:pPr>
      <w:r>
        <w:rPr>
          <w:rFonts w:eastAsia="Times New Roman" w:cstheme="minorHAnsi"/>
          <w:lang w:eastAsia="en-150"/>
        </w:rPr>
        <w:pict w14:anchorId="42CC713B">
          <v:rect id="_x0000_i1026" style="width:0;height:1.5pt" o:hralign="center" o:hrstd="t" o:hr="t" fillcolor="#a0a0a0" stroked="f"/>
        </w:pict>
      </w:r>
    </w:p>
    <w:p w14:paraId="5816681F" w14:textId="77777777" w:rsidR="00B90B73" w:rsidRPr="00B90B73" w:rsidRDefault="00B90B73" w:rsidP="00B90B73">
      <w:pPr>
        <w:spacing w:before="100" w:beforeAutospacing="1" w:after="100" w:afterAutospacing="1" w:line="240" w:lineRule="auto"/>
        <w:rPr>
          <w:rFonts w:eastAsia="Times New Roman" w:cstheme="minorHAnsi"/>
          <w:lang w:eastAsia="en-150"/>
        </w:rPr>
      </w:pPr>
      <w:r w:rsidRPr="00B90B73">
        <w:rPr>
          <w:rFonts w:eastAsia="Times New Roman" w:cstheme="minorHAnsi"/>
          <w:b/>
          <w:bCs/>
          <w:lang w:eastAsia="en-150"/>
        </w:rPr>
        <w:t>3. Ancillary Services</w:t>
      </w:r>
    </w:p>
    <w:p w14:paraId="6EA54A2C" w14:textId="77777777" w:rsidR="00B90B73" w:rsidRPr="00B90B73" w:rsidRDefault="00B90B73" w:rsidP="00B90B73">
      <w:pPr>
        <w:spacing w:before="100" w:beforeAutospacing="1" w:after="100" w:afterAutospacing="1" w:line="240" w:lineRule="auto"/>
        <w:rPr>
          <w:rFonts w:eastAsia="Times New Roman" w:cstheme="minorHAnsi"/>
          <w:lang w:eastAsia="en-150"/>
        </w:rPr>
      </w:pPr>
      <w:r w:rsidRPr="00B90B73">
        <w:rPr>
          <w:rFonts w:eastAsia="Times New Roman" w:cstheme="minorHAnsi"/>
          <w:lang w:eastAsia="en-150"/>
        </w:rPr>
        <w:t>3.1. Under its license, the Company may offer the following Ancillary Services:</w:t>
      </w:r>
      <w:r w:rsidRPr="00B90B73">
        <w:rPr>
          <w:rFonts w:eastAsia="Times New Roman" w:cstheme="minorHAnsi"/>
          <w:lang w:eastAsia="en-150"/>
        </w:rPr>
        <w:br/>
        <w:t>(a) Safekeeping and administration of Financial Instruments for the account of Clients, including custodianship and related services such as cash/collateral management.</w:t>
      </w:r>
      <w:r w:rsidRPr="00B90B73">
        <w:rPr>
          <w:rFonts w:eastAsia="Times New Roman" w:cstheme="minorHAnsi"/>
          <w:lang w:eastAsia="en-150"/>
        </w:rPr>
        <w:br/>
        <w:t>(b) Foreign exchange services where these services are connected to the provision of investment services.</w:t>
      </w:r>
    </w:p>
    <w:p w14:paraId="561B5CD0" w14:textId="77777777" w:rsidR="00B90B73" w:rsidRPr="00B90B73" w:rsidRDefault="00824C56" w:rsidP="00B90B73">
      <w:pPr>
        <w:spacing w:after="0" w:line="240" w:lineRule="auto"/>
        <w:rPr>
          <w:rFonts w:eastAsia="Times New Roman" w:cstheme="minorHAnsi"/>
          <w:lang w:eastAsia="en-150"/>
        </w:rPr>
      </w:pPr>
      <w:r>
        <w:rPr>
          <w:rFonts w:eastAsia="Times New Roman" w:cstheme="minorHAnsi"/>
          <w:lang w:eastAsia="en-150"/>
        </w:rPr>
        <w:pict w14:anchorId="3820CEC2">
          <v:rect id="_x0000_i1027" style="width:0;height:1.5pt" o:hralign="center" o:hrstd="t" o:hr="t" fillcolor="#a0a0a0" stroked="f"/>
        </w:pict>
      </w:r>
    </w:p>
    <w:p w14:paraId="72C487E1" w14:textId="77777777" w:rsidR="00B90B73" w:rsidRPr="00B90B73" w:rsidRDefault="00B90B73" w:rsidP="00B90B73">
      <w:pPr>
        <w:spacing w:before="100" w:beforeAutospacing="1" w:after="100" w:afterAutospacing="1" w:line="240" w:lineRule="auto"/>
        <w:rPr>
          <w:rFonts w:eastAsia="Times New Roman" w:cstheme="minorHAnsi"/>
          <w:lang w:eastAsia="en-150"/>
        </w:rPr>
      </w:pPr>
      <w:r w:rsidRPr="00B90B73">
        <w:rPr>
          <w:rFonts w:eastAsia="Times New Roman" w:cstheme="minorHAnsi"/>
          <w:b/>
          <w:bCs/>
          <w:lang w:eastAsia="en-150"/>
        </w:rPr>
        <w:t>4. Financial Instruments</w:t>
      </w:r>
    </w:p>
    <w:p w14:paraId="789DA74A" w14:textId="77777777" w:rsidR="00B90B73" w:rsidRPr="00B90B73" w:rsidRDefault="00B90B73" w:rsidP="00B90B73">
      <w:pPr>
        <w:spacing w:before="100" w:beforeAutospacing="1" w:after="100" w:afterAutospacing="1" w:line="240" w:lineRule="auto"/>
        <w:rPr>
          <w:rFonts w:eastAsia="Times New Roman" w:cstheme="minorHAnsi"/>
          <w:lang w:eastAsia="en-150"/>
        </w:rPr>
      </w:pPr>
      <w:r w:rsidRPr="00B90B73">
        <w:rPr>
          <w:rFonts w:eastAsia="Times New Roman" w:cstheme="minorHAnsi"/>
          <w:lang w:eastAsia="en-150"/>
        </w:rPr>
        <w:t>4.1. Under its license, the Company may offer the above investment services in relation to certain Financial Instruments, as defined in paragraph 2 of the Law:</w:t>
      </w:r>
      <w:r w:rsidRPr="00B90B73">
        <w:rPr>
          <w:rFonts w:eastAsia="Times New Roman" w:cstheme="minorHAnsi"/>
          <w:lang w:eastAsia="en-150"/>
        </w:rPr>
        <w:br/>
        <w:t>(a) Transferable Securities.</w:t>
      </w:r>
      <w:r w:rsidRPr="00B90B73">
        <w:rPr>
          <w:rFonts w:eastAsia="Times New Roman" w:cstheme="minorHAnsi"/>
          <w:lang w:eastAsia="en-150"/>
        </w:rPr>
        <w:br/>
        <w:t>(b) Money-market instruments.</w:t>
      </w:r>
      <w:r w:rsidRPr="00B90B73">
        <w:rPr>
          <w:rFonts w:eastAsia="Times New Roman" w:cstheme="minorHAnsi"/>
          <w:lang w:eastAsia="en-150"/>
        </w:rPr>
        <w:br/>
        <w:t>(c) Units in collective investment undertakings.</w:t>
      </w:r>
      <w:r w:rsidRPr="00B90B73">
        <w:rPr>
          <w:rFonts w:eastAsia="Times New Roman" w:cstheme="minorHAnsi"/>
          <w:lang w:eastAsia="en-150"/>
        </w:rPr>
        <w:br/>
        <w:t>(d) Options, futures, swaps, forward rate agreements, and any other derivative contracts relating to securities, currencies, interest rates or yields, or other derivatives instruments, financial indices or financial measures which may be settled physically or in cash.</w:t>
      </w:r>
      <w:r w:rsidRPr="00B90B73">
        <w:rPr>
          <w:rFonts w:eastAsia="Times New Roman" w:cstheme="minorHAnsi"/>
          <w:lang w:eastAsia="en-150"/>
        </w:rPr>
        <w:br/>
        <w:t>(e) Options, futures, swaps, forward rate agreements, and any other derivative contracts relating to commodities that must be settled in cash or may be settled in cash at the option of one of the parties (otherwise than by reason of a default or other termination event).</w:t>
      </w:r>
      <w:r w:rsidRPr="00B90B73">
        <w:rPr>
          <w:rFonts w:eastAsia="Times New Roman" w:cstheme="minorHAnsi"/>
          <w:lang w:eastAsia="en-150"/>
        </w:rPr>
        <w:br/>
        <w:t>(f) Options, futures, swaps, and any other derivative contracts relating to commodities that can be physically settled, provided that they are traded on a regulated market and/or an MTF.</w:t>
      </w:r>
      <w:r w:rsidRPr="00B90B73">
        <w:rPr>
          <w:rFonts w:eastAsia="Times New Roman" w:cstheme="minorHAnsi"/>
          <w:lang w:eastAsia="en-150"/>
        </w:rPr>
        <w:br/>
        <w:t>(g) Options, futures, swaps, forwards, and any other derivative contracts relating to commodities, that can be physically settled not otherwise mentioned above and not being for commercial purposes, with characteristics of other derivative financial instruments, having regard to whether they are cleared and settled through recognized clearing houses or subject to regular margin calls.</w:t>
      </w:r>
      <w:r w:rsidRPr="00B90B73">
        <w:rPr>
          <w:rFonts w:eastAsia="Times New Roman" w:cstheme="minorHAnsi"/>
          <w:lang w:eastAsia="en-150"/>
        </w:rPr>
        <w:br/>
      </w:r>
      <w:r w:rsidRPr="00B90B73">
        <w:rPr>
          <w:rFonts w:eastAsia="Times New Roman" w:cstheme="minorHAnsi"/>
          <w:lang w:eastAsia="en-150"/>
        </w:rPr>
        <w:lastRenderedPageBreak/>
        <w:t>(h) Derivative instruments for the transfer of credit risk.</w:t>
      </w:r>
      <w:r w:rsidRPr="00B90B73">
        <w:rPr>
          <w:rFonts w:eastAsia="Times New Roman" w:cstheme="minorHAnsi"/>
          <w:lang w:eastAsia="en-150"/>
        </w:rPr>
        <w:br/>
        <w:t>(</w:t>
      </w:r>
      <w:proofErr w:type="spellStart"/>
      <w:r w:rsidRPr="00B90B73">
        <w:rPr>
          <w:rFonts w:eastAsia="Times New Roman" w:cstheme="minorHAnsi"/>
          <w:lang w:eastAsia="en-150"/>
        </w:rPr>
        <w:t>i</w:t>
      </w:r>
      <w:proofErr w:type="spellEnd"/>
      <w:r w:rsidRPr="00B90B73">
        <w:rPr>
          <w:rFonts w:eastAsia="Times New Roman" w:cstheme="minorHAnsi"/>
          <w:lang w:eastAsia="en-150"/>
        </w:rPr>
        <w:t>) Financial contracts for differences.</w:t>
      </w:r>
      <w:r w:rsidRPr="00B90B73">
        <w:rPr>
          <w:rFonts w:eastAsia="Times New Roman" w:cstheme="minorHAnsi"/>
          <w:lang w:eastAsia="en-150"/>
        </w:rPr>
        <w:br/>
        <w:t>(j) Options, futures, swaps, forward rate agreements, and any other derivative contracts relating to climatic variables, freight rates, emission allowances, inflation rates, or other official economic statistics that must be settled in cash or may be settled in cash at the option of one of the parties (otherwise than by reason of a default or other termination event), as well as other derivative contracts relating to assets, rights, obligations, indices, and measures not otherwise mentioned above.</w:t>
      </w:r>
    </w:p>
    <w:p w14:paraId="4DB92AAE" w14:textId="77777777" w:rsidR="00A64EF5" w:rsidRPr="00B90B73" w:rsidRDefault="00A64EF5">
      <w:pPr>
        <w:rPr>
          <w:rFonts w:cstheme="minorHAnsi"/>
        </w:rPr>
      </w:pPr>
    </w:p>
    <w:sectPr w:rsidR="00A64EF5" w:rsidRPr="00B90B7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4EF5"/>
    <w:rsid w:val="00757411"/>
    <w:rsid w:val="00824C56"/>
    <w:rsid w:val="00A64EF5"/>
    <w:rsid w:val="00B90B73"/>
    <w:rsid w:val="00BB335C"/>
    <w:rsid w:val="00E06BFE"/>
    <w:rsid w:val="00E92549"/>
  </w:rsids>
  <m:mathPr>
    <m:mathFont m:val="Cambria Math"/>
    <m:brkBin m:val="before"/>
    <m:brkBinSub m:val="--"/>
    <m:smallFrac m:val="0"/>
    <m:dispDef/>
    <m:lMargin m:val="0"/>
    <m:rMargin m:val="0"/>
    <m:defJc m:val="centerGroup"/>
    <m:wrapIndent m:val="1440"/>
    <m:intLim m:val="subSup"/>
    <m:naryLim m:val="undOvr"/>
  </m:mathPr>
  <w:themeFontLang w:val="en-150"/>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E9E6A0"/>
  <w15:chartTrackingRefBased/>
  <w15:docId w15:val="{AB2D5A6C-6215-41E5-BB0B-AAD227A28C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150"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B90B7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5216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474</Words>
  <Characters>2703</Characters>
  <Application>Microsoft Office Word</Application>
  <DocSecurity>0</DocSecurity>
  <Lines>22</Lines>
  <Paragraphs>6</Paragraphs>
  <ScaleCrop>false</ScaleCrop>
  <Company/>
  <LinksUpToDate>false</LinksUpToDate>
  <CharactersWithSpaces>3171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Andros</dc:creator>
  <cp:keywords/>
  <dc:description/>
  <cp:lastModifiedBy>Paul Anderson</cp:lastModifiedBy>
  <cp:revision>2</cp:revision>
  <dcterms:created xsi:type="dcterms:W3CDTF">2025-05-09T19:03:00Z</dcterms:created>
  <dcterms:modified xsi:type="dcterms:W3CDTF">2025-05-09T19:03:00Z</dcterms:modified>
</cp:coreProperties>
</file>